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中国人民政治协商会议英吉沙县委员会办公室是行政单位，是中国人民爱国统一战线的组织，是中国共产党领导的多党合作和政治协商的重要机构，是中国政治生活中发扬社会主义民主的一种重要形式。根据中国共产党同各民主党派和无党派民主人士"长期共存、互相监督、肝胆相照、荣辱与共"的方针，对国家大政方针和群众生活的重要问题进行政治协商，并通过建议和批评发挥参政议政、民主监督的作用。</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改善政协机关基础设施建设</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本项目性质为新增项目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本项目主要用于完善政协机关基础设施建设，改善办公环境，进一步提高工作效率。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项目预算安排总额为</w:t>
      </w:r>
      <w:r>
        <w:rPr>
          <w:rFonts w:hint="eastAsia" w:ascii="仿宋" w:hAnsi="仿宋" w:eastAsia="仿宋" w:cs="Times New Roman"/>
          <w:bCs/>
          <w:color w:val="auto"/>
          <w:spacing w:val="-4"/>
          <w:sz w:val="32"/>
          <w:szCs w:val="32"/>
          <w:lang w:val="en-US" w:eastAsia="zh-CN"/>
        </w:rPr>
        <w:t>7</w:t>
      </w:r>
      <w:r>
        <w:rPr>
          <w:rFonts w:hint="eastAsia" w:ascii="仿宋" w:hAnsi="仿宋" w:eastAsia="仿宋" w:cs="Times New Roman"/>
          <w:bCs/>
          <w:color w:val="auto"/>
          <w:spacing w:val="-4"/>
          <w:sz w:val="32"/>
          <w:szCs w:val="32"/>
          <w:lang w:eastAsia="zh-CN"/>
        </w:rPr>
        <w:t>万元，其中财政资金</w:t>
      </w:r>
      <w:r>
        <w:rPr>
          <w:rFonts w:hint="eastAsia" w:ascii="仿宋" w:hAnsi="仿宋" w:eastAsia="仿宋" w:cs="Times New Roman"/>
          <w:bCs/>
          <w:color w:val="auto"/>
          <w:spacing w:val="-4"/>
          <w:sz w:val="32"/>
          <w:szCs w:val="32"/>
          <w:lang w:val="en-US" w:eastAsia="zh-CN"/>
        </w:rPr>
        <w:t>7</w:t>
      </w:r>
      <w:r>
        <w:rPr>
          <w:rFonts w:hint="eastAsia" w:ascii="仿宋" w:hAnsi="仿宋" w:eastAsia="仿宋" w:cs="Times New Roman"/>
          <w:bCs/>
          <w:color w:val="auto"/>
          <w:spacing w:val="-4"/>
          <w:sz w:val="32"/>
          <w:szCs w:val="32"/>
          <w:lang w:eastAsia="zh-CN"/>
        </w:rPr>
        <w:t>万元，自筹资金</w:t>
      </w:r>
      <w:r>
        <w:rPr>
          <w:rFonts w:hint="eastAsia" w:ascii="仿宋" w:hAnsi="仿宋" w:eastAsia="仿宋" w:cs="Times New Roman"/>
          <w:bCs/>
          <w:color w:val="auto"/>
          <w:spacing w:val="-4"/>
          <w:sz w:val="32"/>
          <w:szCs w:val="32"/>
          <w:lang w:val="en-US" w:eastAsia="zh-CN"/>
        </w:rPr>
        <w:t>0</w:t>
      </w:r>
      <w:r>
        <w:rPr>
          <w:rFonts w:hint="eastAsia" w:ascii="仿宋" w:hAnsi="仿宋" w:eastAsia="仿宋" w:cs="Times New Roman"/>
          <w:bCs/>
          <w:color w:val="auto"/>
          <w:spacing w:val="-4"/>
          <w:sz w:val="32"/>
          <w:szCs w:val="32"/>
          <w:lang w:eastAsia="zh-CN"/>
        </w:rPr>
        <w:t>万元，2018年实际收到预算资金</w:t>
      </w:r>
      <w:r>
        <w:rPr>
          <w:rFonts w:hint="eastAsia" w:ascii="仿宋" w:hAnsi="仿宋" w:eastAsia="仿宋" w:cs="Times New Roman"/>
          <w:bCs/>
          <w:color w:val="auto"/>
          <w:spacing w:val="-4"/>
          <w:sz w:val="32"/>
          <w:szCs w:val="32"/>
          <w:lang w:val="en-US" w:eastAsia="zh-CN"/>
        </w:rPr>
        <w:t>7</w:t>
      </w:r>
      <w:r>
        <w:rPr>
          <w:rFonts w:hint="eastAsia" w:ascii="仿宋" w:hAnsi="仿宋" w:eastAsia="仿宋" w:cs="Times New Roman"/>
          <w:bCs/>
          <w:color w:val="auto"/>
          <w:spacing w:val="-4"/>
          <w:sz w:val="32"/>
          <w:szCs w:val="32"/>
          <w:lang w:eastAsia="zh-CN"/>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val="en-US" w:eastAsia="zh-CN"/>
        </w:rPr>
      </w:pPr>
      <w:r>
        <w:rPr>
          <w:rFonts w:hint="eastAsia" w:ascii="仿宋" w:hAnsi="仿宋" w:eastAsia="仿宋" w:cs="Times New Roman"/>
          <w:bCs/>
          <w:color w:val="auto"/>
          <w:spacing w:val="-4"/>
          <w:sz w:val="32"/>
          <w:szCs w:val="32"/>
          <w:lang w:val="en-US" w:eastAsia="zh-CN"/>
        </w:rPr>
        <w:t>本项目实际支付资金7万元，预算执行率100%。项目资金主要用于支付办公费用7万元。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val="en-US" w:eastAsia="zh-CN"/>
        </w:rPr>
      </w:pPr>
      <w:r>
        <w:rPr>
          <w:rFonts w:hint="eastAsia" w:ascii="仿宋" w:hAnsi="仿宋" w:eastAsia="仿宋" w:cs="Times New Roman"/>
          <w:bCs/>
          <w:color w:val="auto"/>
          <w:spacing w:val="-4"/>
          <w:sz w:val="32"/>
          <w:szCs w:val="32"/>
          <w:lang w:eastAsia="zh-CN"/>
        </w:rPr>
        <w:t>①具有相应的项目资金管理办法；②项目资金使用符合国家财经法规和财务管理制度以及有关资金管理办法的规定；③资金的拨付有完整的审批程序和手续；④不存在截留、挤占、挪用、虚列支出等情况；</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val="en-US" w:eastAsia="zh-CN"/>
        </w:rPr>
      </w:pPr>
      <w:r>
        <w:rPr>
          <w:rFonts w:hint="eastAsia" w:ascii="仿宋" w:hAnsi="仿宋" w:eastAsia="仿宋" w:cs="Times New Roman"/>
          <w:bCs/>
          <w:color w:val="auto"/>
          <w:spacing w:val="-4"/>
          <w:sz w:val="32"/>
          <w:szCs w:val="32"/>
          <w:lang w:val="en-US" w:eastAsia="zh-CN"/>
        </w:rPr>
        <w:t>本项目支出符合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该项目属于经常性零星项目,没有达到招投标限额,由本单位自行组织实施。实施过程均按照本单位制定的管理制度执行。</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val="en-US" w:eastAsia="zh-CN"/>
        </w:rPr>
      </w:pPr>
      <w:r>
        <w:rPr>
          <w:rFonts w:hint="eastAsia" w:ascii="仿宋" w:hAnsi="仿宋" w:eastAsia="仿宋" w:cs="Times New Roman"/>
          <w:bCs/>
          <w:color w:val="auto"/>
          <w:spacing w:val="-4"/>
          <w:sz w:val="32"/>
          <w:szCs w:val="32"/>
          <w:lang w:val="en-US" w:eastAsia="zh-CN"/>
        </w:rPr>
        <w:t>本项目不存在调整情况。</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val="en-US" w:eastAsia="zh-CN"/>
        </w:rPr>
      </w:pPr>
      <w:r>
        <w:rPr>
          <w:rFonts w:hint="eastAsia" w:ascii="仿宋" w:hAnsi="仿宋" w:eastAsia="仿宋" w:cs="Times New Roman"/>
          <w:bCs/>
          <w:color w:val="auto"/>
          <w:spacing w:val="-4"/>
          <w:sz w:val="32"/>
          <w:szCs w:val="32"/>
          <w:lang w:val="en-US" w:eastAsia="zh-CN"/>
        </w:rPr>
        <w:t>本项目不存在检查验收程序。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项目实施过程中，政协英吉沙县委员会办公室完善了财务支出制度，保障项目的顺利实施。项目的实施遵守相关法律法规和业务管理规定，项目资料齐全并及时归档。已建立《政协英吉沙县委员会办公室日常检查监督检查机制》，不定期对项目进度情况进行督导检查，确保了项目按时保质完成。</w:t>
      </w:r>
    </w:p>
    <w:p>
      <w:pPr>
        <w:adjustRightInd w:val="0"/>
        <w:snapToGrid w:val="0"/>
        <w:spacing w:line="560" w:lineRule="exact"/>
        <w:ind w:firstLine="624" w:firstLineChars="200"/>
        <w:rPr>
          <w:rStyle w:val="18"/>
          <w:rFonts w:ascii="仿宋" w:hAnsi="仿宋" w:eastAsia="仿宋"/>
          <w:b w:val="0"/>
          <w:color w:val="FF0000"/>
          <w:spacing w:val="-4"/>
          <w:sz w:val="32"/>
          <w:szCs w:val="32"/>
        </w:rPr>
      </w:pP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本项目共设置一级指标</w:t>
      </w:r>
      <w:r>
        <w:rPr>
          <w:rFonts w:hint="eastAsia" w:ascii="仿宋" w:hAnsi="仿宋" w:eastAsia="仿宋" w:cs="Times New Roman"/>
          <w:bCs/>
          <w:color w:val="auto"/>
          <w:spacing w:val="-4"/>
          <w:sz w:val="32"/>
          <w:szCs w:val="32"/>
          <w:lang w:val="en-US" w:eastAsia="zh-CN"/>
        </w:rPr>
        <w:t>6</w:t>
      </w:r>
      <w:r>
        <w:rPr>
          <w:rFonts w:hint="eastAsia" w:ascii="仿宋" w:hAnsi="仿宋" w:eastAsia="仿宋" w:cs="Times New Roman"/>
          <w:bCs/>
          <w:color w:val="auto"/>
          <w:spacing w:val="-4"/>
          <w:sz w:val="32"/>
          <w:szCs w:val="32"/>
          <w:lang w:eastAsia="zh-CN"/>
        </w:rPr>
        <w:t>个，二级指标</w:t>
      </w:r>
      <w:r>
        <w:rPr>
          <w:rFonts w:hint="eastAsia" w:ascii="仿宋" w:hAnsi="仿宋" w:eastAsia="仿宋" w:cs="Times New Roman"/>
          <w:bCs/>
          <w:color w:val="auto"/>
          <w:spacing w:val="-4"/>
          <w:sz w:val="32"/>
          <w:szCs w:val="32"/>
          <w:lang w:val="en-US" w:eastAsia="zh-CN"/>
        </w:rPr>
        <w:t>6</w:t>
      </w:r>
      <w:r>
        <w:rPr>
          <w:rFonts w:hint="eastAsia" w:ascii="仿宋" w:hAnsi="仿宋" w:eastAsia="仿宋" w:cs="Times New Roman"/>
          <w:bCs/>
          <w:color w:val="auto"/>
          <w:spacing w:val="-4"/>
          <w:sz w:val="32"/>
          <w:szCs w:val="32"/>
          <w:lang w:eastAsia="zh-CN"/>
        </w:rPr>
        <w:t>个，三级指标</w:t>
      </w:r>
      <w:r>
        <w:rPr>
          <w:rFonts w:hint="eastAsia" w:ascii="仿宋" w:hAnsi="仿宋" w:eastAsia="仿宋" w:cs="Times New Roman"/>
          <w:bCs/>
          <w:color w:val="auto"/>
          <w:spacing w:val="-4"/>
          <w:sz w:val="32"/>
          <w:szCs w:val="32"/>
          <w:lang w:val="en-US" w:eastAsia="zh-CN"/>
        </w:rPr>
        <w:t>6</w:t>
      </w:r>
      <w:r>
        <w:rPr>
          <w:rFonts w:hint="eastAsia" w:ascii="仿宋" w:hAnsi="仿宋" w:eastAsia="仿宋" w:cs="Times New Roman"/>
          <w:bCs/>
          <w:color w:val="auto"/>
          <w:spacing w:val="-4"/>
          <w:sz w:val="32"/>
          <w:szCs w:val="32"/>
          <w:lang w:eastAsia="zh-CN"/>
        </w:rPr>
        <w:t>个，其中已完成三级指标</w:t>
      </w:r>
      <w:r>
        <w:rPr>
          <w:rFonts w:hint="eastAsia" w:ascii="仿宋" w:hAnsi="仿宋" w:eastAsia="仿宋" w:cs="Times New Roman"/>
          <w:bCs/>
          <w:color w:val="auto"/>
          <w:spacing w:val="-4"/>
          <w:sz w:val="32"/>
          <w:szCs w:val="32"/>
          <w:lang w:val="en-US" w:eastAsia="zh-CN"/>
        </w:rPr>
        <w:t>6</w:t>
      </w:r>
      <w:r>
        <w:rPr>
          <w:rFonts w:hint="eastAsia" w:ascii="仿宋" w:hAnsi="仿宋" w:eastAsia="仿宋" w:cs="Times New Roman"/>
          <w:bCs/>
          <w:color w:val="auto"/>
          <w:spacing w:val="-4"/>
          <w:sz w:val="32"/>
          <w:szCs w:val="32"/>
          <w:lang w:eastAsia="zh-CN"/>
        </w:rPr>
        <w:t>个，指标完成率为</w:t>
      </w:r>
      <w:r>
        <w:rPr>
          <w:rFonts w:hint="eastAsia" w:ascii="仿宋" w:hAnsi="仿宋" w:eastAsia="仿宋" w:cs="Times New Roman"/>
          <w:bCs/>
          <w:color w:val="auto"/>
          <w:spacing w:val="-4"/>
          <w:sz w:val="32"/>
          <w:szCs w:val="32"/>
          <w:lang w:val="en-US" w:eastAsia="zh-CN"/>
        </w:rPr>
        <w:t>100</w:t>
      </w:r>
      <w:r>
        <w:rPr>
          <w:rFonts w:hint="eastAsia" w:ascii="仿宋" w:hAnsi="仿宋" w:eastAsia="仿宋" w:cs="Times New Roman"/>
          <w:bCs/>
          <w:color w:val="auto"/>
          <w:spacing w:val="-4"/>
          <w:sz w:val="32"/>
          <w:szCs w:val="32"/>
          <w:lang w:eastAsia="zh-CN"/>
        </w:rPr>
        <w:t>%</w:t>
      </w:r>
      <w:bookmarkStart w:id="0" w:name="_GoBack"/>
      <w:bookmarkEnd w:id="0"/>
      <w:r>
        <w:rPr>
          <w:rFonts w:hint="eastAsia" w:ascii="仿宋" w:hAnsi="仿宋" w:eastAsia="仿宋" w:cs="Times New Roman"/>
          <w:bCs/>
          <w:color w:val="auto"/>
          <w:spacing w:val="-4"/>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2018年本项目绩效目标全部达成，不存在未完成原因。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hint="eastAsia" w:ascii="仿宋" w:hAnsi="仿宋" w:eastAsia="仿宋" w:cs="Times New Roman"/>
          <w:bCs/>
          <w:color w:val="auto"/>
          <w:spacing w:val="-4"/>
          <w:sz w:val="32"/>
          <w:szCs w:val="32"/>
          <w:lang w:eastAsia="zh-CN"/>
        </w:rPr>
      </w:pPr>
      <w:r>
        <w:rPr>
          <w:rFonts w:hint="eastAsia" w:ascii="仿宋" w:hAnsi="仿宋" w:eastAsia="仿宋" w:cs="Times New Roman"/>
          <w:bCs/>
          <w:color w:val="auto"/>
          <w:spacing w:val="-4"/>
          <w:sz w:val="32"/>
          <w:szCs w:val="32"/>
          <w:lang w:eastAsia="zh-CN"/>
        </w:rPr>
        <w:t>本项目属于短期性项目，在今后的工作中政协英吉沙县委员会办公室将严格遵守固定资产使用制度，妥善使用和保管固定资产。</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lang w:eastAsia="zh-CN"/>
        </w:rPr>
        <w:t>严格按照县财政要求和相关规定执行。</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hint="eastAsia" w:ascii="仿宋" w:hAnsi="仿宋" w:eastAsia="仿宋" w:cs="Times New Roman"/>
          <w:bCs/>
          <w:spacing w:val="-4"/>
          <w:sz w:val="32"/>
          <w:szCs w:val="32"/>
          <w:lang w:eastAsia="zh-CN"/>
        </w:rPr>
      </w:pPr>
      <w:r>
        <w:rPr>
          <w:rFonts w:hint="eastAsia" w:ascii="仿宋" w:hAnsi="仿宋" w:eastAsia="仿宋" w:cs="Times New Roman"/>
          <w:bCs/>
          <w:spacing w:val="-4"/>
          <w:sz w:val="32"/>
          <w:szCs w:val="32"/>
          <w:lang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hint="eastAsia" w:ascii="仿宋" w:hAnsi="仿宋" w:eastAsia="仿宋" w:cs="Times New Roman"/>
          <w:bCs/>
          <w:spacing w:val="-4"/>
          <w:sz w:val="32"/>
          <w:szCs w:val="32"/>
          <w:lang w:eastAsia="zh-CN"/>
        </w:rPr>
      </w:pPr>
      <w:r>
        <w:rPr>
          <w:rFonts w:hint="eastAsia" w:ascii="仿宋" w:hAnsi="仿宋" w:eastAsia="仿宋" w:cs="Times New Roman"/>
          <w:bCs/>
          <w:spacing w:val="-4"/>
          <w:sz w:val="32"/>
          <w:szCs w:val="32"/>
          <w:lang w:eastAsia="zh-CN"/>
        </w:rPr>
        <w:t>本次评价通过文件研读、数据分析等方式，全面了解培训费项项目资金的使用效率和效果，项目管理过程是否规范，是否完成了预期绩效目标等。同时，通过开展自我评价来总结经验和教训，为政协英吉沙县委员会办公室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184F85"/>
    <w:rsid w:val="03841CE9"/>
    <w:rsid w:val="05524C07"/>
    <w:rsid w:val="07C65B1A"/>
    <w:rsid w:val="0C0F77F5"/>
    <w:rsid w:val="12506578"/>
    <w:rsid w:val="1582568E"/>
    <w:rsid w:val="170522F5"/>
    <w:rsid w:val="18D574A3"/>
    <w:rsid w:val="22C17BF3"/>
    <w:rsid w:val="249218C1"/>
    <w:rsid w:val="284A6466"/>
    <w:rsid w:val="2C0A4C27"/>
    <w:rsid w:val="3B1E77BB"/>
    <w:rsid w:val="3E826EA2"/>
    <w:rsid w:val="4614530F"/>
    <w:rsid w:val="465D75F3"/>
    <w:rsid w:val="4C7A63E6"/>
    <w:rsid w:val="4D2D6FA5"/>
    <w:rsid w:val="58CB5491"/>
    <w:rsid w:val="61970427"/>
    <w:rsid w:val="6373718A"/>
    <w:rsid w:val="6653283B"/>
    <w:rsid w:val="68405EC5"/>
    <w:rsid w:val="68BC3E0C"/>
    <w:rsid w:val="6CC21D32"/>
    <w:rsid w:val="6EA1266E"/>
    <w:rsid w:val="711A6105"/>
    <w:rsid w:val="7E56526C"/>
    <w:rsid w:val="7EF139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199</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2019-01-31T15:01:35Z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